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90033" w14:textId="222FB125" w:rsidR="00B35AC9" w:rsidRPr="00B35AC9" w:rsidRDefault="00B35AC9" w:rsidP="00B35AC9">
      <w:pPr>
        <w:suppressAutoHyphens w:val="0"/>
        <w:spacing w:before="100" w:beforeAutospacing="1" w:after="100" w:afterAutospacing="1"/>
        <w:rPr>
          <w:b/>
          <w:bCs/>
          <w:color w:val="auto"/>
          <w:sz w:val="28"/>
          <w:szCs w:val="28"/>
        </w:rPr>
      </w:pPr>
      <w:r w:rsidRPr="00B35AC9">
        <w:rPr>
          <w:b/>
          <w:bCs/>
          <w:color w:val="auto"/>
          <w:sz w:val="28"/>
          <w:szCs w:val="28"/>
        </w:rPr>
        <w:t xml:space="preserve">Załącznik nr 4 </w:t>
      </w:r>
      <w:r w:rsidRPr="00B35AC9">
        <w:rPr>
          <w:b/>
          <w:bCs/>
          <w:color w:val="auto"/>
          <w:sz w:val="28"/>
          <w:szCs w:val="28"/>
        </w:rPr>
        <w:t xml:space="preserve">Wytyczne w zakresie możliwych potencjalnych wykonawców </w:t>
      </w:r>
    </w:p>
    <w:p w14:paraId="2B6C56C4" w14:textId="725A15F4" w:rsidR="00B35AC9" w:rsidRDefault="00B35AC9" w:rsidP="00B35AC9">
      <w:pPr>
        <w:suppressAutoHyphens w:val="0"/>
        <w:spacing w:before="100" w:beforeAutospacing="1" w:after="100" w:afterAutospacing="1"/>
        <w:rPr>
          <w:i/>
          <w:iCs/>
          <w:color w:val="auto"/>
          <w:sz w:val="24"/>
          <w:szCs w:val="24"/>
        </w:rPr>
      </w:pPr>
      <w:r w:rsidRPr="00B35AC9">
        <w:rPr>
          <w:i/>
          <w:iCs/>
          <w:color w:val="auto"/>
          <w:sz w:val="24"/>
          <w:szCs w:val="24"/>
        </w:rPr>
        <w:t xml:space="preserve">Opracowany na podstawie Regulaminu konkursu §18 p. 9  </w:t>
      </w:r>
    </w:p>
    <w:p w14:paraId="3D6DC1FD" w14:textId="77777777" w:rsidR="00652AE4" w:rsidRDefault="00652AE4" w:rsidP="00B35AC9">
      <w:pPr>
        <w:suppressAutoHyphens w:val="0"/>
        <w:rPr>
          <w:color w:val="auto"/>
          <w:sz w:val="24"/>
          <w:szCs w:val="24"/>
        </w:rPr>
      </w:pPr>
    </w:p>
    <w:p w14:paraId="3E29D55E" w14:textId="2C529634" w:rsidR="00B35AC9" w:rsidRDefault="00652AE4" w:rsidP="00B35AC9">
      <w:pPr>
        <w:suppressAutoHyphens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Zamawiający</w:t>
      </w:r>
      <w:r w:rsidR="00B35AC9" w:rsidRPr="00B35AC9">
        <w:rPr>
          <w:color w:val="auto"/>
          <w:sz w:val="24"/>
          <w:szCs w:val="24"/>
        </w:rPr>
        <w:t xml:space="preserve"> samodzielnie wybiera Wykonawcę/Wykonawców usługi/usług, którymi mogą być: </w:t>
      </w:r>
    </w:p>
    <w:p w14:paraId="4851F0B0" w14:textId="77777777" w:rsidR="00B35AC9" w:rsidRPr="00B35AC9" w:rsidRDefault="00B35AC9" w:rsidP="00B35AC9">
      <w:pPr>
        <w:suppressAutoHyphens w:val="0"/>
        <w:rPr>
          <w:color w:val="auto"/>
          <w:sz w:val="24"/>
          <w:szCs w:val="24"/>
        </w:rPr>
      </w:pPr>
    </w:p>
    <w:p w14:paraId="65EB5D6C" w14:textId="77777777" w:rsidR="00B35AC9" w:rsidRPr="00B35AC9" w:rsidRDefault="00B35AC9" w:rsidP="00B35AC9">
      <w:pPr>
        <w:suppressAutoHyphens w:val="0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 xml:space="preserve">1) Podmioty uprawnione do świadczenia usług badawczo-rozwojowych, o których mowa w ust. 6 Typ 1 i 2 oraz usług proinnowacyjnych, o których mowa w ust. 7 Typ 3, 4, 5: </w:t>
      </w:r>
    </w:p>
    <w:p w14:paraId="630303E8" w14:textId="77777777" w:rsidR="008849F6" w:rsidRDefault="00B35AC9" w:rsidP="00B35AC9">
      <w:pPr>
        <w:suppressAutoHyphens w:val="0"/>
        <w:ind w:left="708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 xml:space="preserve">a) Jednostki naukowe:  </w:t>
      </w:r>
    </w:p>
    <w:p w14:paraId="116BF61E" w14:textId="3D904710" w:rsidR="00B35AC9" w:rsidRPr="008849F6" w:rsidRDefault="00B35AC9" w:rsidP="008849F6">
      <w:pPr>
        <w:pStyle w:val="Akapitzlist"/>
        <w:numPr>
          <w:ilvl w:val="0"/>
          <w:numId w:val="2"/>
        </w:numPr>
        <w:suppressAutoHyphens w:val="0"/>
        <w:rPr>
          <w:color w:val="auto"/>
          <w:sz w:val="24"/>
          <w:szCs w:val="24"/>
        </w:rPr>
      </w:pPr>
      <w:r w:rsidRPr="008849F6">
        <w:rPr>
          <w:color w:val="auto"/>
          <w:sz w:val="24"/>
          <w:szCs w:val="24"/>
        </w:rPr>
        <w:t xml:space="preserve">posiadające przyznaną kategorię naukową co najmniej B (tj. kategorię B lub wyższą) lub  </w:t>
      </w:r>
    </w:p>
    <w:p w14:paraId="75CD965E" w14:textId="29B561FC" w:rsidR="00B35AC9" w:rsidRPr="00B35AC9" w:rsidRDefault="00B35AC9" w:rsidP="00B35AC9">
      <w:pPr>
        <w:pStyle w:val="Akapitzlist"/>
        <w:numPr>
          <w:ilvl w:val="0"/>
          <w:numId w:val="2"/>
        </w:numPr>
        <w:suppressAutoHyphens w:val="0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 xml:space="preserve">posiadające infrastrukturę badawczą powstałą przy wsparciu w ramach działań 2.1 i 2.2 Programu Operacyjnego Innowacyjna Gospodarka na lata 2007-2013: uczelnie, instytuty naukowe PAN, działające na podstawie ustawy z dn. 30 kwietnia 2010 r. o Polskiej Akademii Nauk lub instytuty badawcze, działające na podstawie ustawy z dn. 30 kwietnia 2010 r. o instytutach badawczych lub </w:t>
      </w:r>
    </w:p>
    <w:p w14:paraId="6B0E7A33" w14:textId="311CA63A" w:rsidR="00B35AC9" w:rsidRPr="00B35AC9" w:rsidRDefault="00B35AC9" w:rsidP="00B35AC9">
      <w:pPr>
        <w:pStyle w:val="Akapitzlist"/>
        <w:numPr>
          <w:ilvl w:val="0"/>
          <w:numId w:val="2"/>
        </w:numPr>
        <w:suppressAutoHyphens w:val="0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 xml:space="preserve">Centrum Łukasiewicz, działające na podstawie ustawy z dn. 21 lutego </w:t>
      </w:r>
    </w:p>
    <w:p w14:paraId="2572DFA7" w14:textId="77777777" w:rsidR="00B35AC9" w:rsidRPr="00B35AC9" w:rsidRDefault="00B35AC9" w:rsidP="00B35AC9">
      <w:pPr>
        <w:suppressAutoHyphens w:val="0"/>
        <w:ind w:left="708" w:firstLine="708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 xml:space="preserve">2019 r. o Sieci Badawczej Łukasiewicz lub </w:t>
      </w:r>
    </w:p>
    <w:p w14:paraId="42FADD83" w14:textId="0AA8752C" w:rsidR="00B35AC9" w:rsidRPr="00B35AC9" w:rsidRDefault="00B35AC9" w:rsidP="00B35AC9">
      <w:pPr>
        <w:pStyle w:val="Akapitzlist"/>
        <w:numPr>
          <w:ilvl w:val="0"/>
          <w:numId w:val="3"/>
        </w:numPr>
        <w:suppressAutoHyphens w:val="0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 xml:space="preserve">instytuty działające w ramach Sieci Badawczej Łukasiewicz,  </w:t>
      </w:r>
    </w:p>
    <w:p w14:paraId="2D10CE3F" w14:textId="77777777" w:rsidR="00B35AC9" w:rsidRPr="00B35AC9" w:rsidRDefault="00B35AC9" w:rsidP="00B35AC9">
      <w:pPr>
        <w:suppressAutoHyphens w:val="0"/>
        <w:ind w:left="708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>b)</w:t>
      </w:r>
      <w:r w:rsidRPr="00B35AC9">
        <w:rPr>
          <w:color w:val="auto"/>
          <w:sz w:val="24"/>
          <w:szCs w:val="24"/>
        </w:rPr>
        <w:tab/>
        <w:t xml:space="preserve">Przedsiębiorcy posiadający status centrum badawczo-rozwojowego w rozumieniu ustawy z dn. 30 maja 2008 r. o niektórych formach wspierania działalności innowacyjnej, o której mowa w §3 ust. 1 pkt 13) Regulaminu,  </w:t>
      </w:r>
    </w:p>
    <w:p w14:paraId="78C510B0" w14:textId="77777777" w:rsidR="00B35AC9" w:rsidRPr="00B35AC9" w:rsidRDefault="00B35AC9" w:rsidP="00B35AC9">
      <w:pPr>
        <w:suppressAutoHyphens w:val="0"/>
        <w:ind w:left="708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>c)</w:t>
      </w:r>
      <w:r w:rsidRPr="00B35AC9">
        <w:rPr>
          <w:color w:val="auto"/>
          <w:sz w:val="24"/>
          <w:szCs w:val="24"/>
        </w:rPr>
        <w:tab/>
        <w:t xml:space="preserve">Niezależne jednostki, stanowiące akredytowane laboratorium (posiadające akredytację Polskiego Centrum Akredytacji) lub notyfikowane laboratorium (ujęte w aktualnym wykazie autoryzowanych jednostek certyfikujących i jednostek kontrolujących oraz autoryzowanych laboratoriów, notyfikowanych Komisji Europejskiej i państwom członkowskim Unii Europejskiej), </w:t>
      </w:r>
    </w:p>
    <w:p w14:paraId="3B1E2CEB" w14:textId="77777777" w:rsidR="00B35AC9" w:rsidRPr="00B35AC9" w:rsidRDefault="00B35AC9" w:rsidP="00B35AC9">
      <w:pPr>
        <w:suppressAutoHyphens w:val="0"/>
        <w:ind w:left="708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>d)</w:t>
      </w:r>
      <w:r w:rsidRPr="00B35AC9">
        <w:rPr>
          <w:color w:val="auto"/>
          <w:sz w:val="24"/>
          <w:szCs w:val="24"/>
        </w:rPr>
        <w:tab/>
        <w:t xml:space="preserve">Centra transferu technologii w rozumieniu ustawy z dn. 20 lipca 2018r. Prawo o szkolnictwie wyższym i nauce, o której mowa w §3 ust.1 pkt 14) Regulaminu, </w:t>
      </w:r>
    </w:p>
    <w:p w14:paraId="0FAE0C50" w14:textId="77777777" w:rsidR="00B35AC9" w:rsidRPr="00B35AC9" w:rsidRDefault="00B35AC9" w:rsidP="00B35AC9">
      <w:pPr>
        <w:suppressAutoHyphens w:val="0"/>
        <w:ind w:left="708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>e)</w:t>
      </w:r>
      <w:r w:rsidRPr="00B35AC9">
        <w:rPr>
          <w:color w:val="auto"/>
          <w:sz w:val="24"/>
          <w:szCs w:val="24"/>
        </w:rPr>
        <w:tab/>
        <w:t xml:space="preserve">Spółki celowe w rozumieniu ustawy z dn. 20 lipca 2018r. Prawo o szkolnictwie wyższym i nauce, o której mowa w §3 ust.1 pkt 14) Regulaminu; </w:t>
      </w:r>
    </w:p>
    <w:p w14:paraId="231B23D8" w14:textId="77777777" w:rsidR="00B35AC9" w:rsidRPr="00B35AC9" w:rsidRDefault="00B35AC9" w:rsidP="00B35AC9">
      <w:pPr>
        <w:suppressAutoHyphens w:val="0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 xml:space="preserve"> </w:t>
      </w:r>
      <w:r w:rsidRPr="00B35AC9">
        <w:rPr>
          <w:color w:val="auto"/>
          <w:sz w:val="24"/>
          <w:szCs w:val="24"/>
        </w:rPr>
        <w:tab/>
        <w:t xml:space="preserve"> </w:t>
      </w:r>
    </w:p>
    <w:p w14:paraId="633AD395" w14:textId="77777777" w:rsidR="00B35AC9" w:rsidRPr="00B35AC9" w:rsidRDefault="00B35AC9" w:rsidP="00B35AC9">
      <w:pPr>
        <w:suppressAutoHyphens w:val="0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>2)</w:t>
      </w:r>
      <w:r w:rsidRPr="00B35AC9">
        <w:rPr>
          <w:color w:val="auto"/>
          <w:sz w:val="24"/>
          <w:szCs w:val="24"/>
        </w:rPr>
        <w:tab/>
        <w:t xml:space="preserve">Podmioty uprawnione do świadczenia usług proinnowacyjnych – o których mowa w ust. 7 Typ 3, 4, 5: </w:t>
      </w:r>
    </w:p>
    <w:p w14:paraId="62D3EB38" w14:textId="77777777" w:rsidR="00B35AC9" w:rsidRPr="00B35AC9" w:rsidRDefault="00B35AC9" w:rsidP="00B35AC9">
      <w:pPr>
        <w:suppressAutoHyphens w:val="0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 xml:space="preserve">Instytucje otoczenia biznesu (IOB) – ośrodki innowacji, tj. podmioty posiadające status ośrodków innowacji akredytowanych w ramach systemu akredytacji ośrodków innowacji świadczących proinnowacyjne usług na rzecz przedsiębiorstw (tj. ujęte na aktualnej liście akredytowanych ośrodków innowacji, publikowanej przez ministerstwo właściwe ds. </w:t>
      </w:r>
    </w:p>
    <w:p w14:paraId="76F3B95A" w14:textId="77EE8C93" w:rsidR="00B35AC9" w:rsidRDefault="00B35AC9" w:rsidP="00B35AC9">
      <w:pPr>
        <w:suppressAutoHyphens w:val="0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 xml:space="preserve">gospodarki); </w:t>
      </w:r>
    </w:p>
    <w:p w14:paraId="1593EBC6" w14:textId="77777777" w:rsidR="00B35AC9" w:rsidRPr="00B35AC9" w:rsidRDefault="00B35AC9" w:rsidP="00B35AC9">
      <w:pPr>
        <w:suppressAutoHyphens w:val="0"/>
        <w:rPr>
          <w:color w:val="auto"/>
          <w:sz w:val="24"/>
          <w:szCs w:val="24"/>
        </w:rPr>
      </w:pPr>
    </w:p>
    <w:p w14:paraId="7F1AB51E" w14:textId="0C216363" w:rsidR="00B35AC9" w:rsidRPr="00B35AC9" w:rsidRDefault="00B35AC9" w:rsidP="00B35AC9">
      <w:pPr>
        <w:suppressAutoHyphens w:val="0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>3)</w:t>
      </w:r>
      <w:r w:rsidRPr="00B35AC9">
        <w:rPr>
          <w:color w:val="auto"/>
          <w:sz w:val="24"/>
          <w:szCs w:val="24"/>
        </w:rPr>
        <w:tab/>
        <w:t xml:space="preserve">Podmioty uprawnione do świadczenia usług proinnowacyjnych – wyłącznie typu 5: </w:t>
      </w:r>
    </w:p>
    <w:p w14:paraId="3EA330D1" w14:textId="66C8D4E2" w:rsidR="00B35AC9" w:rsidRDefault="00B35AC9" w:rsidP="00B35AC9">
      <w:pPr>
        <w:suppressAutoHyphens w:val="0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 xml:space="preserve">Kancelarie patentowe w rozumieniu art. 5 ust. 1 ustawy z dn. 11 kwietnia 2001 r. o rzecznikach patentowych (t. j Dz. U. z 2019 r. poz. 1861 z późn. zm.); </w:t>
      </w:r>
    </w:p>
    <w:p w14:paraId="419BC6A8" w14:textId="77777777" w:rsidR="00B35AC9" w:rsidRPr="00B35AC9" w:rsidRDefault="00B35AC9" w:rsidP="00B35AC9">
      <w:pPr>
        <w:suppressAutoHyphens w:val="0"/>
        <w:rPr>
          <w:color w:val="auto"/>
          <w:sz w:val="24"/>
          <w:szCs w:val="24"/>
        </w:rPr>
      </w:pPr>
    </w:p>
    <w:p w14:paraId="15949194" w14:textId="1020EBBB" w:rsidR="00B35AC9" w:rsidRDefault="00B35AC9" w:rsidP="00B35AC9">
      <w:pPr>
        <w:suppressAutoHyphens w:val="0"/>
        <w:rPr>
          <w:color w:val="auto"/>
          <w:sz w:val="24"/>
          <w:szCs w:val="24"/>
        </w:rPr>
      </w:pPr>
      <w:r w:rsidRPr="00B35AC9">
        <w:rPr>
          <w:color w:val="auto"/>
          <w:sz w:val="24"/>
          <w:szCs w:val="24"/>
        </w:rPr>
        <w:t>4)</w:t>
      </w:r>
      <w:r w:rsidRPr="00B35AC9">
        <w:rPr>
          <w:color w:val="auto"/>
          <w:sz w:val="24"/>
          <w:szCs w:val="24"/>
        </w:rPr>
        <w:tab/>
        <w:t xml:space="preserve">Usługi wspierane w ramach niniejszego poddziałania mogą być realizowane również przez konsorcja podmiotów uprawnionych do samodzielnego świadczenia poszczególnych typów usług określnych w §18 ust. 6 i 7 Regulaminu tj. podmiotów wymienionych w ust. 9 </w:t>
      </w:r>
      <w:r w:rsidRPr="00B35AC9">
        <w:rPr>
          <w:color w:val="auto"/>
          <w:sz w:val="24"/>
          <w:szCs w:val="24"/>
        </w:rPr>
        <w:lastRenderedPageBreak/>
        <w:t xml:space="preserve">pkt 1), 2) i 3). Podmioty te na podstawie umowy konsorcjum realizują przedmiot zamówienia opisany w zapytaniu ofertowym i złożonej przez konsorcjum ofercie. Podział zadań wśród członków konsorcjum w ramach realizacji zlecenia musi uwzględniać wymogi przewidziane dla świadczenia usług badawczo-rozwojowych oraz usług proinnowacyjnych. </w:t>
      </w:r>
    </w:p>
    <w:p w14:paraId="5A003076" w14:textId="77777777" w:rsidR="00B35AC9" w:rsidRPr="00B35AC9" w:rsidRDefault="00B35AC9" w:rsidP="00B35AC9">
      <w:pPr>
        <w:suppressAutoHyphens w:val="0"/>
        <w:rPr>
          <w:color w:val="auto"/>
          <w:sz w:val="24"/>
          <w:szCs w:val="24"/>
        </w:rPr>
      </w:pPr>
    </w:p>
    <w:p w14:paraId="13BC38EF" w14:textId="77777777" w:rsidR="00B819BD" w:rsidRDefault="00B819BD"/>
    <w:sectPr w:rsidR="00B8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7609B"/>
    <w:multiLevelType w:val="multilevel"/>
    <w:tmpl w:val="EE0E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B1063"/>
    <w:multiLevelType w:val="hybridMultilevel"/>
    <w:tmpl w:val="97D41CA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B8E5D7E"/>
    <w:multiLevelType w:val="hybridMultilevel"/>
    <w:tmpl w:val="0B7285D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C9"/>
    <w:rsid w:val="00652AE4"/>
    <w:rsid w:val="008849F6"/>
    <w:rsid w:val="00B35AC9"/>
    <w:rsid w:val="00B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CD55"/>
  <w15:chartTrackingRefBased/>
  <w15:docId w15:val="{D7897EDA-A9B6-4BD6-8D72-0CB98DD0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A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51BF-527C-4145-B52D-CDE15721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EZ. Załęska</dc:creator>
  <cp:keywords/>
  <dc:description/>
  <cp:lastModifiedBy>Ewelina EZ. Załęska</cp:lastModifiedBy>
  <cp:revision>3</cp:revision>
  <dcterms:created xsi:type="dcterms:W3CDTF">2021-07-14T11:43:00Z</dcterms:created>
  <dcterms:modified xsi:type="dcterms:W3CDTF">2021-07-14T11:54:00Z</dcterms:modified>
</cp:coreProperties>
</file>